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2A0F0D" w14:textId="1EE6ACBC" w:rsidR="005350B5" w:rsidRDefault="003804BD" w:rsidP="003804BD">
      <w:pPr>
        <w:jc w:val="center"/>
      </w:pPr>
      <w:r>
        <w:t>How Do We Know That a Particular Catholic Teaching is True?</w:t>
      </w:r>
    </w:p>
    <w:p w14:paraId="72A8D963" w14:textId="0EA1CE80" w:rsidR="003804BD" w:rsidRDefault="003804BD" w:rsidP="003804BD">
      <w:r>
        <w:t>Where can we find the teaching of the Catholic Church?</w:t>
      </w:r>
      <w:r w:rsidR="00225B6B">
        <w:rPr>
          <w:rStyle w:val="FootnoteReference"/>
        </w:rPr>
        <w:footnoteReference w:id="1"/>
      </w:r>
    </w:p>
    <w:p w14:paraId="2FB4B451" w14:textId="3F1670CF" w:rsidR="003804BD" w:rsidRDefault="003804BD" w:rsidP="003804BD">
      <w:pPr>
        <w:pStyle w:val="ListParagraph"/>
        <w:numPr>
          <w:ilvl w:val="0"/>
          <w:numId w:val="1"/>
        </w:numPr>
      </w:pPr>
      <w:r>
        <w:t>Sacred Scripture</w:t>
      </w:r>
    </w:p>
    <w:p w14:paraId="26D37F64" w14:textId="32B498B5" w:rsidR="003804BD" w:rsidRDefault="003804BD" w:rsidP="003804BD">
      <w:pPr>
        <w:pStyle w:val="ListParagraph"/>
        <w:numPr>
          <w:ilvl w:val="0"/>
          <w:numId w:val="1"/>
        </w:numPr>
      </w:pPr>
      <w:r>
        <w:t>Sacred Tradition</w:t>
      </w:r>
    </w:p>
    <w:p w14:paraId="741297D9" w14:textId="7265E4C8" w:rsidR="003804BD" w:rsidRDefault="003804BD" w:rsidP="003804BD">
      <w:pPr>
        <w:pStyle w:val="ListParagraph"/>
        <w:numPr>
          <w:ilvl w:val="0"/>
          <w:numId w:val="1"/>
        </w:numPr>
      </w:pPr>
      <w:r>
        <w:t>Magisterium</w:t>
      </w:r>
    </w:p>
    <w:p w14:paraId="7D61BA1E" w14:textId="21198207" w:rsidR="003804BD" w:rsidRDefault="003804BD" w:rsidP="003804BD">
      <w:r>
        <w:t>What is the Magisterium?</w:t>
      </w:r>
    </w:p>
    <w:p w14:paraId="49DDDFDE" w14:textId="0C756C91" w:rsidR="003804BD" w:rsidRDefault="003804BD" w:rsidP="003804BD">
      <w:pPr>
        <w:pStyle w:val="ListParagraph"/>
        <w:numPr>
          <w:ilvl w:val="0"/>
          <w:numId w:val="2"/>
        </w:numPr>
      </w:pPr>
      <w:r>
        <w:t>It is the teaching authority of the Catholic Church.</w:t>
      </w:r>
    </w:p>
    <w:p w14:paraId="217CF8D5" w14:textId="4B7D5B79" w:rsidR="003804BD" w:rsidRDefault="003804BD" w:rsidP="003804BD">
      <w:pPr>
        <w:pStyle w:val="ListParagraph"/>
        <w:numPr>
          <w:ilvl w:val="0"/>
          <w:numId w:val="2"/>
        </w:numPr>
      </w:pPr>
      <w:r>
        <w:t>It is exercised by the pope and bishops united with him.</w:t>
      </w:r>
    </w:p>
    <w:p w14:paraId="450AC8A0" w14:textId="2DE40674" w:rsidR="003804BD" w:rsidRDefault="003804BD" w:rsidP="003804BD">
      <w:r>
        <w:t>What is Sacred Scripture?</w:t>
      </w:r>
    </w:p>
    <w:p w14:paraId="49671663" w14:textId="2BFBA5C1" w:rsidR="003804BD" w:rsidRDefault="003804BD" w:rsidP="003804BD">
      <w:pPr>
        <w:pStyle w:val="ListParagraph"/>
        <w:numPr>
          <w:ilvl w:val="0"/>
          <w:numId w:val="3"/>
        </w:numPr>
      </w:pPr>
      <w:r>
        <w:t>The Word of God which is found in the Bible.</w:t>
      </w:r>
    </w:p>
    <w:p w14:paraId="1624814B" w14:textId="1306E39A" w:rsidR="003804BD" w:rsidRDefault="003804BD" w:rsidP="003804BD">
      <w:pPr>
        <w:pStyle w:val="ListParagraph"/>
        <w:numPr>
          <w:ilvl w:val="0"/>
          <w:numId w:val="3"/>
        </w:numPr>
      </w:pPr>
      <w:r>
        <w:t>It is inspired by the Holy Spirit and written down by men.</w:t>
      </w:r>
    </w:p>
    <w:p w14:paraId="299FC72B" w14:textId="427373F4" w:rsidR="003804BD" w:rsidRDefault="003804BD" w:rsidP="003804BD">
      <w:r>
        <w:t>What is Sacred Tradition?</w:t>
      </w:r>
    </w:p>
    <w:p w14:paraId="09EA6FDF" w14:textId="0D277AE7" w:rsidR="003804BD" w:rsidRDefault="003804BD" w:rsidP="003804BD">
      <w:pPr>
        <w:pStyle w:val="ListParagraph"/>
        <w:numPr>
          <w:ilvl w:val="0"/>
          <w:numId w:val="4"/>
        </w:numPr>
      </w:pPr>
      <w:r>
        <w:t>The truths revealed by God through Jesus Christ, preached by the apostles, and passed down to their successors.</w:t>
      </w:r>
    </w:p>
    <w:p w14:paraId="02969D85" w14:textId="5C126C95" w:rsidR="003804BD" w:rsidRDefault="003804BD" w:rsidP="003804BD">
      <w:r>
        <w:t>What is infallibility?</w:t>
      </w:r>
    </w:p>
    <w:p w14:paraId="2A07C7AE" w14:textId="1088C198" w:rsidR="003804BD" w:rsidRDefault="003804BD" w:rsidP="003804BD">
      <w:pPr>
        <w:pStyle w:val="ListParagraph"/>
        <w:numPr>
          <w:ilvl w:val="0"/>
          <w:numId w:val="4"/>
        </w:numPr>
      </w:pPr>
      <w:r>
        <w:t>Infallible means incapable of error.</w:t>
      </w:r>
    </w:p>
    <w:p w14:paraId="2B23236D" w14:textId="7D8325B6" w:rsidR="003804BD" w:rsidRDefault="003804BD" w:rsidP="003804BD">
      <w:pPr>
        <w:pStyle w:val="ListParagraph"/>
        <w:numPr>
          <w:ilvl w:val="0"/>
          <w:numId w:val="4"/>
        </w:numPr>
      </w:pPr>
      <w:r>
        <w:t xml:space="preserve">It is a gift given by God to the pope and the bishops in union with him, that they cannot make mistakes when </w:t>
      </w:r>
      <w:r>
        <w:rPr>
          <w:b/>
          <w:bCs/>
        </w:rPr>
        <w:t>defining a doctrine concerning faith or morals</w:t>
      </w:r>
      <w:r>
        <w:t xml:space="preserve"> because they are guided by the Holy Spirit.</w:t>
      </w:r>
    </w:p>
    <w:p w14:paraId="68E6BEE2" w14:textId="7ACDD19C" w:rsidR="003804BD" w:rsidRDefault="003804BD" w:rsidP="003804BD">
      <w:pPr>
        <w:pStyle w:val="ListParagraph"/>
        <w:numPr>
          <w:ilvl w:val="0"/>
          <w:numId w:val="4"/>
        </w:numPr>
      </w:pPr>
      <w:r>
        <w:t xml:space="preserve">When the pope speaks </w:t>
      </w:r>
      <w:r>
        <w:rPr>
          <w:i/>
          <w:iCs/>
        </w:rPr>
        <w:t xml:space="preserve">ex cathedra </w:t>
      </w:r>
      <w:r>
        <w:t xml:space="preserve">(“from the chair”) for the purpose of defining such a doctrine, his pronouncement is infallible. In the history of the Church, the pope has spoken </w:t>
      </w:r>
      <w:r>
        <w:rPr>
          <w:i/>
          <w:iCs/>
        </w:rPr>
        <w:t xml:space="preserve">ex cathedra </w:t>
      </w:r>
      <w:r>
        <w:t>on two occasions</w:t>
      </w:r>
      <w:r w:rsidR="008C4A4B">
        <w:t xml:space="preserve"> – in 1854 and 1950.</w:t>
      </w:r>
    </w:p>
    <w:p w14:paraId="2C12761F" w14:textId="708A9EF9" w:rsidR="008C4A4B" w:rsidRDefault="008C4A4B" w:rsidP="008C4A4B">
      <w:r>
        <w:t xml:space="preserve">How do we know that a particular doctrine is true? </w:t>
      </w:r>
      <w:r w:rsidR="006424B5">
        <w:t xml:space="preserve">One of the more recent explanations of the development of doctrine comes from </w:t>
      </w:r>
      <w:r>
        <w:t>St. John Henry Newman</w:t>
      </w:r>
      <w:r w:rsidR="00225B6B">
        <w:t xml:space="preserve"> and his Development of Christian Doctrine.</w:t>
      </w:r>
      <w:r w:rsidR="006424B5">
        <w:rPr>
          <w:rStyle w:val="FootnoteReference"/>
        </w:rPr>
        <w:footnoteReference w:id="2"/>
      </w:r>
      <w:r w:rsidR="00225B6B">
        <w:t xml:space="preserve"> Frankly, it’s quite complicated and extensive and many have brought it down to a sane level of understanding. What follows is </w:t>
      </w:r>
      <w:r w:rsidR="00962B11">
        <w:t xml:space="preserve">from </w:t>
      </w:r>
      <w:r w:rsidR="001C6A8F">
        <w:t>a more recent source.</w:t>
      </w:r>
      <w:r w:rsidR="001C6A8F">
        <w:rPr>
          <w:rStyle w:val="FootnoteReference"/>
        </w:rPr>
        <w:footnoteReference w:id="3"/>
      </w:r>
    </w:p>
    <w:p w14:paraId="5BDE6C5C" w14:textId="2D86BFDC" w:rsidR="008C4A4B" w:rsidRDefault="008C4A4B" w:rsidP="008C4A4B">
      <w:pPr>
        <w:pStyle w:val="ListParagraph"/>
        <w:numPr>
          <w:ilvl w:val="0"/>
          <w:numId w:val="6"/>
        </w:numPr>
      </w:pPr>
      <w:r>
        <w:lastRenderedPageBreak/>
        <w:t>“Young birds do not grow into fishes.” “A new idea will only be a legitimate development of doctrine if it is an organic outgrowth of the original deposit of faith</w:t>
      </w:r>
      <w:proofErr w:type="gramStart"/>
      <w:r>
        <w:t>….An</w:t>
      </w:r>
      <w:proofErr w:type="gramEnd"/>
      <w:r>
        <w:t xml:space="preserve"> oak tree can grow from an acorn, but a pear tree cannot.”</w:t>
      </w:r>
    </w:p>
    <w:p w14:paraId="12CD2412" w14:textId="43B2DFDF" w:rsidR="008C4A4B" w:rsidRDefault="008C4A4B" w:rsidP="008C4A4B">
      <w:pPr>
        <w:pStyle w:val="ListParagraph"/>
        <w:numPr>
          <w:ilvl w:val="0"/>
          <w:numId w:val="6"/>
        </w:numPr>
      </w:pPr>
      <w:r>
        <w:t>The new concept must “retain both the doctrine and the principle with which it started.”</w:t>
      </w:r>
    </w:p>
    <w:p w14:paraId="3B994A38" w14:textId="51570138" w:rsidR="003804BD" w:rsidRDefault="008C4A4B" w:rsidP="003804BD">
      <w:pPr>
        <w:pStyle w:val="ListParagraph"/>
        <w:numPr>
          <w:ilvl w:val="0"/>
          <w:numId w:val="6"/>
        </w:numPr>
      </w:pPr>
      <w:r>
        <w:t>The power of assimilation means that “the harder it is to assimilate an idea the more likely it is to represent a corru</w:t>
      </w:r>
      <w:r w:rsidR="007509C3">
        <w:t>p</w:t>
      </w:r>
      <w:r>
        <w:t>ting influence rather than a legitimate development.”</w:t>
      </w:r>
    </w:p>
    <w:p w14:paraId="72651C39" w14:textId="4A80D25D" w:rsidR="007509C3" w:rsidRDefault="007509C3" w:rsidP="003804BD">
      <w:pPr>
        <w:pStyle w:val="ListParagraph"/>
        <w:numPr>
          <w:ilvl w:val="0"/>
          <w:numId w:val="6"/>
        </w:numPr>
      </w:pPr>
      <w:r>
        <w:t>“There is a single unchanging deposit of faith,” notes Catholic University of America theologian, Michael Pa</w:t>
      </w:r>
      <w:r w:rsidR="00E86345">
        <w:t>k</w:t>
      </w:r>
      <w:r>
        <w:t>aluk. “It is set down at the beginning of Christian history in the apostolic e</w:t>
      </w:r>
      <w:r w:rsidR="00197C48">
        <w:t>ra</w:t>
      </w:r>
      <w:r>
        <w:t xml:space="preserve"> and subsequently develops in the sense that our passive reception and understanding of it grows. It is our understanding that grows and deepens, not the deposit of the faith itself.</w:t>
      </w:r>
      <w:r w:rsidR="00E86345">
        <w:t>”</w:t>
      </w:r>
    </w:p>
    <w:p w14:paraId="290EB465" w14:textId="13501124" w:rsidR="00197C48" w:rsidRDefault="00197C48" w:rsidP="003804BD">
      <w:pPr>
        <w:pStyle w:val="ListParagraph"/>
        <w:numPr>
          <w:ilvl w:val="0"/>
          <w:numId w:val="6"/>
        </w:numPr>
      </w:pPr>
      <w:r>
        <w:t>It anticipates the future.</w:t>
      </w:r>
    </w:p>
    <w:p w14:paraId="1E13CEEF" w14:textId="4B1312BA" w:rsidR="006424B5" w:rsidRDefault="00197C48" w:rsidP="003804BD">
      <w:pPr>
        <w:pStyle w:val="ListParagraph"/>
        <w:numPr>
          <w:ilvl w:val="0"/>
          <w:numId w:val="6"/>
        </w:numPr>
      </w:pPr>
      <w:r>
        <w:t>True development according to Newman “illustrates, not obscures, corroborates, not correct</w:t>
      </w:r>
      <w:r w:rsidR="00E86345">
        <w:t>s</w:t>
      </w:r>
      <w:r>
        <w:t xml:space="preserve">, the body of thought from which it proceeds.” Newman also quotes St. Leo the Great here. “To be seeking for what has been disclosed, to reconsider what has been finished, to tear up what has been laid down, what is this but to be unthankful for what is gained?” </w:t>
      </w:r>
    </w:p>
    <w:p w14:paraId="15788CB8" w14:textId="57AD9D87" w:rsidR="00197C48" w:rsidRDefault="006424B5" w:rsidP="003804BD">
      <w:pPr>
        <w:pStyle w:val="ListParagraph"/>
        <w:numPr>
          <w:ilvl w:val="0"/>
          <w:numId w:val="6"/>
        </w:numPr>
      </w:pPr>
      <w:r>
        <w:t xml:space="preserve">The “chronic </w:t>
      </w:r>
      <w:proofErr w:type="spellStart"/>
      <w:r>
        <w:t>vigour</w:t>
      </w:r>
      <w:proofErr w:type="spellEnd"/>
      <w:r>
        <w:t>” principle. The principle is not a fleeting trend of the times…a shooting star, vs. a planet or star.</w:t>
      </w:r>
      <w:r w:rsidR="00197C48">
        <w:t xml:space="preserve"> </w:t>
      </w:r>
    </w:p>
    <w:p w14:paraId="15B46595" w14:textId="45732411" w:rsidR="00696B28" w:rsidRDefault="008E580E" w:rsidP="00696B28">
      <w:r>
        <w:t>Some Examples:</w:t>
      </w:r>
    </w:p>
    <w:p w14:paraId="4CF4658E" w14:textId="0B08A082" w:rsidR="003A4DAB" w:rsidRDefault="008322C6" w:rsidP="008E580E">
      <w:pPr>
        <w:pStyle w:val="ListParagraph"/>
        <w:numPr>
          <w:ilvl w:val="0"/>
          <w:numId w:val="7"/>
        </w:numPr>
      </w:pPr>
      <w:r>
        <w:t>The Nicene Creed as</w:t>
      </w:r>
      <w:r w:rsidR="008E580E">
        <w:t xml:space="preserve"> promulgated by the Council of</w:t>
      </w:r>
      <w:r w:rsidR="003A4DAB">
        <w:t xml:space="preserve"> </w:t>
      </w:r>
      <w:proofErr w:type="spellStart"/>
      <w:r w:rsidR="003A4DAB">
        <w:t>Nicea</w:t>
      </w:r>
      <w:proofErr w:type="spellEnd"/>
      <w:r w:rsidR="003A4DAB">
        <w:t xml:space="preserve"> in 3</w:t>
      </w:r>
      <w:r>
        <w:t>25</w:t>
      </w:r>
      <w:r w:rsidR="003A4DAB">
        <w:t>.</w:t>
      </w:r>
      <w:r w:rsidR="00E40BE5">
        <w:rPr>
          <w:rStyle w:val="FootnoteReference"/>
        </w:rPr>
        <w:footnoteReference w:id="4"/>
      </w:r>
      <w:r>
        <w:t xml:space="preserve"> </w:t>
      </w:r>
    </w:p>
    <w:p w14:paraId="1FF543E9" w14:textId="27D2E1DB" w:rsidR="008E580E" w:rsidRDefault="003A4DAB" w:rsidP="008E580E">
      <w:pPr>
        <w:pStyle w:val="ListParagraph"/>
        <w:numPr>
          <w:ilvl w:val="0"/>
          <w:numId w:val="7"/>
        </w:numPr>
      </w:pPr>
      <w:r>
        <w:t xml:space="preserve">The </w:t>
      </w:r>
      <w:r w:rsidR="008322C6">
        <w:t>Nicene-Constantinople Creed</w:t>
      </w:r>
      <w:r>
        <w:t xml:space="preserve"> as promulgated by the Council of</w:t>
      </w:r>
      <w:r w:rsidR="008322C6">
        <w:t xml:space="preserve"> </w:t>
      </w:r>
      <w:r>
        <w:t>Constantinople in</w:t>
      </w:r>
      <w:r w:rsidR="008322C6">
        <w:t xml:space="preserve"> 381.</w:t>
      </w:r>
      <w:r w:rsidR="00E40BE5">
        <w:rPr>
          <w:rStyle w:val="FootnoteReference"/>
        </w:rPr>
        <w:footnoteReference w:id="5"/>
      </w:r>
      <w:r>
        <w:t xml:space="preserve"> </w:t>
      </w:r>
      <w:r w:rsidR="008E580E">
        <w:t xml:space="preserve"> </w:t>
      </w:r>
    </w:p>
    <w:p w14:paraId="43AB02EE" w14:textId="71B39A8D" w:rsidR="003C2E66" w:rsidRDefault="003C2E66" w:rsidP="008E580E">
      <w:pPr>
        <w:pStyle w:val="ListParagraph"/>
        <w:numPr>
          <w:ilvl w:val="0"/>
          <w:numId w:val="7"/>
        </w:numPr>
      </w:pPr>
      <w:r>
        <w:t>Ordination of women to the priesthood.</w:t>
      </w:r>
    </w:p>
    <w:p w14:paraId="4CF0E4D4" w14:textId="117E478C" w:rsidR="003C2E66" w:rsidRDefault="003C2E66" w:rsidP="008E580E">
      <w:pPr>
        <w:pStyle w:val="ListParagraph"/>
        <w:numPr>
          <w:ilvl w:val="0"/>
          <w:numId w:val="7"/>
        </w:numPr>
      </w:pPr>
      <w:r>
        <w:t>Marriage of two individuals of the same sex.</w:t>
      </w:r>
    </w:p>
    <w:p w14:paraId="659DEB35" w14:textId="4BA8AF41" w:rsidR="003C2E66" w:rsidRDefault="00752066" w:rsidP="008E580E">
      <w:pPr>
        <w:pStyle w:val="ListParagraph"/>
        <w:numPr>
          <w:ilvl w:val="0"/>
          <w:numId w:val="7"/>
        </w:numPr>
      </w:pPr>
      <w:r>
        <w:t>The words of consecration at the Mass.</w:t>
      </w:r>
    </w:p>
    <w:p w14:paraId="4DF43ABA" w14:textId="184A4EBC" w:rsidR="00C74A60" w:rsidRDefault="00C74A60" w:rsidP="008E580E">
      <w:pPr>
        <w:pStyle w:val="ListParagraph"/>
        <w:numPr>
          <w:ilvl w:val="0"/>
          <w:numId w:val="7"/>
        </w:numPr>
      </w:pPr>
      <w:r>
        <w:t>The Mass as a meal.</w:t>
      </w:r>
    </w:p>
    <w:sectPr w:rsidR="00C74A60" w:rsidSect="008C405F">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25774A" w14:textId="77777777" w:rsidR="008C405F" w:rsidRDefault="008C405F" w:rsidP="006424B5">
      <w:pPr>
        <w:spacing w:after="0" w:line="240" w:lineRule="auto"/>
      </w:pPr>
      <w:r>
        <w:separator/>
      </w:r>
    </w:p>
  </w:endnote>
  <w:endnote w:type="continuationSeparator" w:id="0">
    <w:p w14:paraId="4CA981EF" w14:textId="77777777" w:rsidR="008C405F" w:rsidRDefault="008C405F" w:rsidP="00642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250A3E" w14:textId="77777777" w:rsidR="008C405F" w:rsidRDefault="008C405F" w:rsidP="006424B5">
      <w:pPr>
        <w:spacing w:after="0" w:line="240" w:lineRule="auto"/>
      </w:pPr>
      <w:r>
        <w:separator/>
      </w:r>
    </w:p>
  </w:footnote>
  <w:footnote w:type="continuationSeparator" w:id="0">
    <w:p w14:paraId="680E62C8" w14:textId="77777777" w:rsidR="008C405F" w:rsidRDefault="008C405F" w:rsidP="006424B5">
      <w:pPr>
        <w:spacing w:after="0" w:line="240" w:lineRule="auto"/>
      </w:pPr>
      <w:r>
        <w:continuationSeparator/>
      </w:r>
    </w:p>
  </w:footnote>
  <w:footnote w:id="1">
    <w:p w14:paraId="707BB20E" w14:textId="3FD35B4C" w:rsidR="00225B6B" w:rsidRDefault="00225B6B">
      <w:pPr>
        <w:pStyle w:val="FootnoteText"/>
      </w:pPr>
      <w:r>
        <w:rPr>
          <w:rStyle w:val="FootnoteReference"/>
        </w:rPr>
        <w:footnoteRef/>
      </w:r>
      <w:r>
        <w:t xml:space="preserve"> The students should recognize these Basic Study Questions for Grade 7</w:t>
      </w:r>
      <w:r w:rsidR="00E86345">
        <w:t>.</w:t>
      </w:r>
    </w:p>
    <w:p w14:paraId="6D1D37C7" w14:textId="77777777" w:rsidR="008707EB" w:rsidRDefault="008707EB">
      <w:pPr>
        <w:pStyle w:val="FootnoteText"/>
      </w:pPr>
    </w:p>
  </w:footnote>
  <w:footnote w:id="2">
    <w:p w14:paraId="4FF9E8C6" w14:textId="535568C9" w:rsidR="006424B5" w:rsidRDefault="006424B5">
      <w:pPr>
        <w:pStyle w:val="FootnoteText"/>
      </w:pPr>
      <w:r>
        <w:rPr>
          <w:rStyle w:val="FootnoteReference"/>
        </w:rPr>
        <w:footnoteRef/>
      </w:r>
      <w:r>
        <w:t xml:space="preserve"> John Henry Newman, </w:t>
      </w:r>
      <w:r w:rsidR="00225B6B">
        <w:rPr>
          <w:i/>
          <w:iCs/>
        </w:rPr>
        <w:t>The</w:t>
      </w:r>
      <w:r>
        <w:rPr>
          <w:i/>
          <w:iCs/>
        </w:rPr>
        <w:t xml:space="preserve"> Development of Christian Doctrine</w:t>
      </w:r>
      <w:r w:rsidR="00225B6B">
        <w:rPr>
          <w:i/>
          <w:iCs/>
        </w:rPr>
        <w:t xml:space="preserve">, </w:t>
      </w:r>
      <w:hyperlink r:id="rId1" w:history="1">
        <w:r w:rsidR="00225B6B">
          <w:rPr>
            <w:rStyle w:val="Hyperlink"/>
          </w:rPr>
          <w:t>https://digitalcollections.newmanstudies.org/document/bt21_n5_1846/an_essay_on_the_development_of_christian_doctrine__by_john_henry_newman/1846-00-00</w:t>
        </w:r>
      </w:hyperlink>
    </w:p>
    <w:p w14:paraId="16690C4F" w14:textId="77777777" w:rsidR="008707EB" w:rsidRPr="006424B5" w:rsidRDefault="008707EB">
      <w:pPr>
        <w:pStyle w:val="FootnoteText"/>
      </w:pPr>
    </w:p>
  </w:footnote>
  <w:footnote w:id="3">
    <w:p w14:paraId="1101AA86" w14:textId="39BE31C6" w:rsidR="001C6A8F" w:rsidRPr="00073C8F" w:rsidRDefault="001C6A8F">
      <w:pPr>
        <w:pStyle w:val="FootnoteText"/>
      </w:pPr>
      <w:r>
        <w:rPr>
          <w:rStyle w:val="FootnoteReference"/>
        </w:rPr>
        <w:footnoteRef/>
      </w:r>
      <w:r>
        <w:t xml:space="preserve"> Tracey Rowland, “John Henry Newman on the Development of Doctrine: A </w:t>
      </w:r>
      <w:r>
        <w:rPr>
          <w:i/>
          <w:iCs/>
        </w:rPr>
        <w:t>Via Media</w:t>
      </w:r>
      <w:r>
        <w:t xml:space="preserve"> between Intellectualism and Historicism,” Chapter 20 of </w:t>
      </w:r>
      <w:r>
        <w:rPr>
          <w:i/>
          <w:iCs/>
        </w:rPr>
        <w:t xml:space="preserve">A Guide to John Henry Newman His Life and Thought, </w:t>
      </w:r>
      <w:r w:rsidR="00073C8F">
        <w:rPr>
          <w:i/>
          <w:iCs/>
        </w:rPr>
        <w:t xml:space="preserve">edited by Juan R. Velez, </w:t>
      </w:r>
      <w:r w:rsidR="00073C8F">
        <w:t>The Catholic University Press, Washington, DC, pp 352-</w:t>
      </w:r>
      <w:r w:rsidR="00386271">
        <w:t>372)</w:t>
      </w:r>
      <w:r w:rsidR="00696B28" w:rsidRPr="00696B28">
        <w:t xml:space="preserve"> </w:t>
      </w:r>
      <w:hyperlink r:id="rId2" w:history="1">
        <w:r w:rsidR="00696B28">
          <w:rPr>
            <w:rStyle w:val="Hyperlink"/>
          </w:rPr>
          <w:t>https://muse.jhu.edu/pub/16/edited_volume/chapter/3322716</w:t>
        </w:r>
      </w:hyperlink>
    </w:p>
  </w:footnote>
  <w:footnote w:id="4">
    <w:p w14:paraId="65024183" w14:textId="52608D4A" w:rsidR="00E40BE5" w:rsidRDefault="00E40BE5">
      <w:pPr>
        <w:pStyle w:val="FootnoteText"/>
        <w:rPr>
          <w:rFonts w:eastAsiaTheme="minorEastAsia" w:hAnsi="Aptos"/>
          <w:color w:val="000000" w:themeColor="text1"/>
          <w:kern w:val="24"/>
        </w:rPr>
      </w:pPr>
      <w:r>
        <w:rPr>
          <w:rStyle w:val="FootnoteReference"/>
        </w:rPr>
        <w:footnoteRef/>
      </w:r>
      <w:r>
        <w:t xml:space="preserve"> </w:t>
      </w:r>
      <w:hyperlink r:id="rId3" w:history="1">
        <w:r w:rsidRPr="0047291A">
          <w:rPr>
            <w:rStyle w:val="Hyperlink"/>
            <w:rFonts w:eastAsiaTheme="minorEastAsia" w:hAnsi="Aptos"/>
            <w:kern w:val="24"/>
          </w:rPr>
          <w:t>https://www.PapalEncyclicals.net/councils/ecum01.htm</w:t>
        </w:r>
      </w:hyperlink>
    </w:p>
    <w:p w14:paraId="2E01D5E9" w14:textId="77777777" w:rsidR="00E40BE5" w:rsidRDefault="00E40BE5">
      <w:pPr>
        <w:pStyle w:val="FootnoteText"/>
      </w:pPr>
    </w:p>
  </w:footnote>
  <w:footnote w:id="5">
    <w:p w14:paraId="602F6553" w14:textId="4BCCC3F5" w:rsidR="00E40BE5" w:rsidRDefault="00E40BE5">
      <w:pPr>
        <w:pStyle w:val="FootnoteText"/>
        <w:rPr>
          <w:rFonts w:eastAsiaTheme="minorEastAsia" w:hAnsi="Aptos"/>
          <w:color w:val="000000" w:themeColor="text1"/>
          <w:kern w:val="24"/>
        </w:rPr>
      </w:pPr>
      <w:r>
        <w:rPr>
          <w:rStyle w:val="FootnoteReference"/>
        </w:rPr>
        <w:footnoteRef/>
      </w:r>
      <w:r>
        <w:t xml:space="preserve"> </w:t>
      </w:r>
      <w:hyperlink r:id="rId4" w:history="1">
        <w:r w:rsidR="0070466B" w:rsidRPr="0047291A">
          <w:rPr>
            <w:rStyle w:val="Hyperlink"/>
            <w:rFonts w:eastAsiaTheme="minorEastAsia" w:hAnsi="Aptos"/>
            <w:kern w:val="24"/>
          </w:rPr>
          <w:t>https://www.PapalEncyclicals.net/councils/ecum02.htm</w:t>
        </w:r>
      </w:hyperlink>
    </w:p>
    <w:p w14:paraId="2B11636B" w14:textId="77777777" w:rsidR="00E40BE5" w:rsidRDefault="00E40BE5">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7EA3FE" w14:textId="2A13F52E" w:rsidR="008707EB" w:rsidRDefault="008707EB" w:rsidP="008707EB">
    <w:pPr>
      <w:pStyle w:val="Header"/>
      <w:jc w:val="center"/>
    </w:pPr>
    <w:r>
      <w:t>St. Raymond of Peñafort Ninth Grade Religious Education Program</w:t>
    </w:r>
  </w:p>
  <w:p w14:paraId="13660DA2" w14:textId="77777777" w:rsidR="008707EB" w:rsidRDefault="008707EB" w:rsidP="008707EB">
    <w:pPr>
      <w:pStyle w:val="Header"/>
      <w:jc w:val="center"/>
    </w:pPr>
    <w:r>
      <w:t>Development of Doctrine (March 10, 2024)</w:t>
    </w:r>
  </w:p>
  <w:p w14:paraId="60BCF0CE" w14:textId="77777777" w:rsidR="005C67BA" w:rsidRDefault="005C67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B70C7C"/>
    <w:multiLevelType w:val="hybridMultilevel"/>
    <w:tmpl w:val="46F0D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0551AE"/>
    <w:multiLevelType w:val="hybridMultilevel"/>
    <w:tmpl w:val="ABBCBD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E46E2E"/>
    <w:multiLevelType w:val="hybridMultilevel"/>
    <w:tmpl w:val="3E1C0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0EF6"/>
    <w:multiLevelType w:val="hybridMultilevel"/>
    <w:tmpl w:val="3B4AC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274680"/>
    <w:multiLevelType w:val="hybridMultilevel"/>
    <w:tmpl w:val="2EA60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0D4040"/>
    <w:multiLevelType w:val="hybridMultilevel"/>
    <w:tmpl w:val="39329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797A6E"/>
    <w:multiLevelType w:val="hybridMultilevel"/>
    <w:tmpl w:val="46E29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9607280">
    <w:abstractNumId w:val="2"/>
  </w:num>
  <w:num w:numId="2" w16cid:durableId="1195532284">
    <w:abstractNumId w:val="3"/>
  </w:num>
  <w:num w:numId="3" w16cid:durableId="1659846785">
    <w:abstractNumId w:val="6"/>
  </w:num>
  <w:num w:numId="4" w16cid:durableId="939800103">
    <w:abstractNumId w:val="4"/>
  </w:num>
  <w:num w:numId="5" w16cid:durableId="616135202">
    <w:abstractNumId w:val="5"/>
  </w:num>
  <w:num w:numId="6" w16cid:durableId="1007052283">
    <w:abstractNumId w:val="0"/>
  </w:num>
  <w:num w:numId="7" w16cid:durableId="539652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4BD"/>
    <w:rsid w:val="00073C8F"/>
    <w:rsid w:val="0019319A"/>
    <w:rsid w:val="00197C48"/>
    <w:rsid w:val="00197D4A"/>
    <w:rsid w:val="001C6A8F"/>
    <w:rsid w:val="00225B6B"/>
    <w:rsid w:val="003804BD"/>
    <w:rsid w:val="00386271"/>
    <w:rsid w:val="003A4DAB"/>
    <w:rsid w:val="003C2E66"/>
    <w:rsid w:val="0041391C"/>
    <w:rsid w:val="005350B5"/>
    <w:rsid w:val="005C67BA"/>
    <w:rsid w:val="006424B5"/>
    <w:rsid w:val="00696B28"/>
    <w:rsid w:val="0070466B"/>
    <w:rsid w:val="007509C3"/>
    <w:rsid w:val="00752066"/>
    <w:rsid w:val="008322C6"/>
    <w:rsid w:val="008707EB"/>
    <w:rsid w:val="008C405F"/>
    <w:rsid w:val="008C4A4B"/>
    <w:rsid w:val="008E580E"/>
    <w:rsid w:val="008F4936"/>
    <w:rsid w:val="00962B11"/>
    <w:rsid w:val="00C74A60"/>
    <w:rsid w:val="00E40BE5"/>
    <w:rsid w:val="00E86345"/>
    <w:rsid w:val="00F63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64BFE"/>
  <w15:chartTrackingRefBased/>
  <w15:docId w15:val="{ECC31A3C-1646-4567-BEC6-635FC95B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04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04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04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04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04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04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04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04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04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04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04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04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04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04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04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04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04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04BD"/>
    <w:rPr>
      <w:rFonts w:eastAsiaTheme="majorEastAsia" w:cstheme="majorBidi"/>
      <w:color w:val="272727" w:themeColor="text1" w:themeTint="D8"/>
    </w:rPr>
  </w:style>
  <w:style w:type="paragraph" w:styleId="Title">
    <w:name w:val="Title"/>
    <w:basedOn w:val="Normal"/>
    <w:next w:val="Normal"/>
    <w:link w:val="TitleChar"/>
    <w:uiPriority w:val="10"/>
    <w:qFormat/>
    <w:rsid w:val="003804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04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04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04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04BD"/>
    <w:pPr>
      <w:spacing w:before="160"/>
      <w:jc w:val="center"/>
    </w:pPr>
    <w:rPr>
      <w:i/>
      <w:iCs/>
      <w:color w:val="404040" w:themeColor="text1" w:themeTint="BF"/>
    </w:rPr>
  </w:style>
  <w:style w:type="character" w:customStyle="1" w:styleId="QuoteChar">
    <w:name w:val="Quote Char"/>
    <w:basedOn w:val="DefaultParagraphFont"/>
    <w:link w:val="Quote"/>
    <w:uiPriority w:val="29"/>
    <w:rsid w:val="003804BD"/>
    <w:rPr>
      <w:i/>
      <w:iCs/>
      <w:color w:val="404040" w:themeColor="text1" w:themeTint="BF"/>
    </w:rPr>
  </w:style>
  <w:style w:type="paragraph" w:styleId="ListParagraph">
    <w:name w:val="List Paragraph"/>
    <w:basedOn w:val="Normal"/>
    <w:uiPriority w:val="34"/>
    <w:qFormat/>
    <w:rsid w:val="003804BD"/>
    <w:pPr>
      <w:ind w:left="720"/>
      <w:contextualSpacing/>
    </w:pPr>
  </w:style>
  <w:style w:type="character" w:styleId="IntenseEmphasis">
    <w:name w:val="Intense Emphasis"/>
    <w:basedOn w:val="DefaultParagraphFont"/>
    <w:uiPriority w:val="21"/>
    <w:qFormat/>
    <w:rsid w:val="003804BD"/>
    <w:rPr>
      <w:i/>
      <w:iCs/>
      <w:color w:val="0F4761" w:themeColor="accent1" w:themeShade="BF"/>
    </w:rPr>
  </w:style>
  <w:style w:type="paragraph" w:styleId="IntenseQuote">
    <w:name w:val="Intense Quote"/>
    <w:basedOn w:val="Normal"/>
    <w:next w:val="Normal"/>
    <w:link w:val="IntenseQuoteChar"/>
    <w:uiPriority w:val="30"/>
    <w:qFormat/>
    <w:rsid w:val="003804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04BD"/>
    <w:rPr>
      <w:i/>
      <w:iCs/>
      <w:color w:val="0F4761" w:themeColor="accent1" w:themeShade="BF"/>
    </w:rPr>
  </w:style>
  <w:style w:type="character" w:styleId="IntenseReference">
    <w:name w:val="Intense Reference"/>
    <w:basedOn w:val="DefaultParagraphFont"/>
    <w:uiPriority w:val="32"/>
    <w:qFormat/>
    <w:rsid w:val="003804BD"/>
    <w:rPr>
      <w:b/>
      <w:bCs/>
      <w:smallCaps/>
      <w:color w:val="0F4761" w:themeColor="accent1" w:themeShade="BF"/>
      <w:spacing w:val="5"/>
    </w:rPr>
  </w:style>
  <w:style w:type="paragraph" w:styleId="FootnoteText">
    <w:name w:val="footnote text"/>
    <w:basedOn w:val="Normal"/>
    <w:link w:val="FootnoteTextChar"/>
    <w:uiPriority w:val="99"/>
    <w:semiHidden/>
    <w:unhideWhenUsed/>
    <w:rsid w:val="006424B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24B5"/>
    <w:rPr>
      <w:sz w:val="20"/>
      <w:szCs w:val="20"/>
    </w:rPr>
  </w:style>
  <w:style w:type="character" w:styleId="FootnoteReference">
    <w:name w:val="footnote reference"/>
    <w:basedOn w:val="DefaultParagraphFont"/>
    <w:uiPriority w:val="99"/>
    <w:semiHidden/>
    <w:unhideWhenUsed/>
    <w:rsid w:val="006424B5"/>
    <w:rPr>
      <w:vertAlign w:val="superscript"/>
    </w:rPr>
  </w:style>
  <w:style w:type="character" w:styleId="Hyperlink">
    <w:name w:val="Hyperlink"/>
    <w:basedOn w:val="DefaultParagraphFont"/>
    <w:uiPriority w:val="99"/>
    <w:unhideWhenUsed/>
    <w:rsid w:val="00225B6B"/>
    <w:rPr>
      <w:color w:val="0000FF"/>
      <w:u w:val="single"/>
    </w:rPr>
  </w:style>
  <w:style w:type="paragraph" w:styleId="Header">
    <w:name w:val="header"/>
    <w:basedOn w:val="Normal"/>
    <w:link w:val="HeaderChar"/>
    <w:uiPriority w:val="99"/>
    <w:unhideWhenUsed/>
    <w:rsid w:val="00F63E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3E6E"/>
  </w:style>
  <w:style w:type="paragraph" w:styleId="Footer">
    <w:name w:val="footer"/>
    <w:basedOn w:val="Normal"/>
    <w:link w:val="FooterChar"/>
    <w:uiPriority w:val="99"/>
    <w:unhideWhenUsed/>
    <w:rsid w:val="00F63E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E6E"/>
  </w:style>
  <w:style w:type="character" w:styleId="UnresolvedMention">
    <w:name w:val="Unresolved Mention"/>
    <w:basedOn w:val="DefaultParagraphFont"/>
    <w:uiPriority w:val="99"/>
    <w:semiHidden/>
    <w:unhideWhenUsed/>
    <w:rsid w:val="00E40B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PapalEncyclicals.net/councils/ecum01.htm" TargetMode="External"/><Relationship Id="rId2" Type="http://schemas.openxmlformats.org/officeDocument/2006/relationships/hyperlink" Target="https://muse.jhu.edu/pub/16/edited_volume/chapter/3322716" TargetMode="External"/><Relationship Id="rId1" Type="http://schemas.openxmlformats.org/officeDocument/2006/relationships/hyperlink" Target="https://digitalcollections.newmanstudies.org/document/bt21_n5_1846/an_essay_on_the_development_of_christian_doctrine__by_john_henry_newman/1846-00-00" TargetMode="External"/><Relationship Id="rId4" Type="http://schemas.openxmlformats.org/officeDocument/2006/relationships/hyperlink" Target="https://www.PapalEncyclicals.net/councils/ecum0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EA868C-B5F7-4EA4-9B1D-69ED8A5C4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460</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dcterms:created xsi:type="dcterms:W3CDTF">2024-03-10T02:09:00Z</dcterms:created>
  <dcterms:modified xsi:type="dcterms:W3CDTF">2024-03-10T02:09:00Z</dcterms:modified>
</cp:coreProperties>
</file>