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632B1" w14:textId="7A072BE0" w:rsidR="001E525D" w:rsidRPr="001E525D" w:rsidRDefault="001E525D" w:rsidP="001E525D">
      <w:pPr>
        <w:jc w:val="center"/>
        <w:rPr>
          <w:rFonts w:ascii="Times New Roman" w:eastAsia="Times New Roman" w:hAnsi="Times New Roman" w:cs="Times New Roman"/>
          <w:color w:val="000000"/>
          <w:u w:val="single"/>
        </w:rPr>
      </w:pPr>
      <w:r w:rsidRPr="001E525D">
        <w:rPr>
          <w:rFonts w:ascii="Times New Roman" w:eastAsia="Times New Roman" w:hAnsi="Times New Roman" w:cs="Times New Roman"/>
          <w:color w:val="000000"/>
          <w:u w:val="single"/>
        </w:rPr>
        <w:t>The Fall and Original Sin</w:t>
      </w:r>
    </w:p>
    <w:p w14:paraId="002B3527" w14:textId="14A2C78D" w:rsidR="001E525D" w:rsidRPr="001E525D" w:rsidRDefault="001E525D" w:rsidP="001E525D">
      <w:pPr>
        <w:jc w:val="center"/>
        <w:rPr>
          <w:rFonts w:ascii="Times New Roman" w:eastAsia="Times New Roman" w:hAnsi="Times New Roman" w:cs="Times New Roman"/>
          <w:color w:val="000000"/>
          <w:u w:val="single"/>
        </w:rPr>
      </w:pPr>
    </w:p>
    <w:p w14:paraId="43CE3069" w14:textId="250BE65B" w:rsidR="001E525D" w:rsidRPr="001E525D" w:rsidRDefault="00231B96" w:rsidP="001E525D">
      <w:pPr>
        <w:jc w:val="center"/>
        <w:rPr>
          <w:rFonts w:ascii="Times New Roman" w:eastAsia="Times New Roman" w:hAnsi="Times New Roman" w:cs="Times New Roman"/>
          <w:color w:val="000000"/>
        </w:rPr>
      </w:pPr>
      <w:hyperlink r:id="rId8" w:history="1">
        <w:r w:rsidR="001E525D" w:rsidRPr="001E525D">
          <w:rPr>
            <w:rStyle w:val="Hyperlink"/>
            <w:rFonts w:ascii="Times New Roman" w:eastAsia="Times New Roman" w:hAnsi="Times New Roman" w:cs="Times New Roman"/>
          </w:rPr>
          <w:t>https://magiscenter.com/the-fall-and-original-sin/</w:t>
        </w:r>
      </w:hyperlink>
    </w:p>
    <w:p w14:paraId="45494562"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Before we begin to discuss the fall, it will be helpful to talk a little about free will. Free will arises out of a combination of several of the capacities of our transphysical soul (and God’s presence to it). At the center of free will is our capacity for self-consciousness enabling us to create our own inner world – indeed to create our own moral essence.</w:t>
      </w:r>
    </w:p>
    <w:p w14:paraId="26F78DDB"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shd w:val="clear" w:color="auto" w:fill="FFFFFF"/>
        </w:rPr>
        <w:t>When God gave a transphysical soul to the first human beings–and to all subsequent human beings–He not only bestowed on them the capacity for self-awareness and self-definition, He also gave them all of </w:t>
      </w:r>
      <w:hyperlink r:id="rId9" w:history="1">
        <w:r w:rsidRPr="001E525D">
          <w:rPr>
            <w:rFonts w:ascii="Times New Roman" w:eastAsia="Times New Roman" w:hAnsi="Times New Roman" w:cs="Times New Roman"/>
            <w:color w:val="0275D8"/>
            <w:u w:val="single"/>
            <w:shd w:val="clear" w:color="auto" w:fill="FFFFFF"/>
          </w:rPr>
          <w:t>12 capacities of a transphysical soul</w:t>
        </w:r>
      </w:hyperlink>
      <w:r w:rsidRPr="001E525D">
        <w:rPr>
          <w:rFonts w:ascii="Times New Roman" w:eastAsia="Times New Roman" w:hAnsi="Times New Roman" w:cs="Times New Roman"/>
          <w:color w:val="373A3C"/>
          <w:shd w:val="clear" w:color="auto" w:fill="FFFFFF"/>
        </w:rPr>
        <w:t>.</w:t>
      </w:r>
    </w:p>
    <w:p w14:paraId="00E82151" w14:textId="39B95C2E" w:rsidR="005C3930" w:rsidRDefault="001E525D" w:rsidP="001E525D">
      <w:pPr>
        <w:spacing w:before="280" w:after="280"/>
        <w:rPr>
          <w:rFonts w:ascii="Times New Roman" w:eastAsia="Times New Roman" w:hAnsi="Times New Roman" w:cs="Times New Roman"/>
          <w:color w:val="373A3C"/>
        </w:rPr>
      </w:pPr>
      <w:r w:rsidRPr="001E525D">
        <w:rPr>
          <w:rFonts w:ascii="Times New Roman" w:eastAsia="Times New Roman" w:hAnsi="Times New Roman" w:cs="Times New Roman"/>
          <w:color w:val="373A3C"/>
        </w:rPr>
        <w:t>Key among these are empathy, conscience, and the awareness of Him (the spiritual-sacred-numinous</w:t>
      </w:r>
      <w:r w:rsidR="008E39BA">
        <w:rPr>
          <w:rStyle w:val="FootnoteReference"/>
          <w:rFonts w:ascii="Times New Roman" w:eastAsia="Times New Roman" w:hAnsi="Times New Roman" w:cs="Times New Roman"/>
          <w:color w:val="373A3C"/>
        </w:rPr>
        <w:footnoteReference w:id="1"/>
      </w:r>
      <w:r w:rsidRPr="001E525D">
        <w:rPr>
          <w:rFonts w:ascii="Times New Roman" w:eastAsia="Times New Roman" w:hAnsi="Times New Roman" w:cs="Times New Roman"/>
          <w:color w:val="373A3C"/>
        </w:rPr>
        <w:t xml:space="preserve">-transcendent reality). </w:t>
      </w:r>
    </w:p>
    <w:p w14:paraId="59C30924" w14:textId="77777777" w:rsidR="005C3930" w:rsidRDefault="001E525D" w:rsidP="001E525D">
      <w:pPr>
        <w:spacing w:before="280" w:after="280"/>
        <w:rPr>
          <w:rFonts w:ascii="Times New Roman" w:eastAsia="Times New Roman" w:hAnsi="Times New Roman" w:cs="Times New Roman"/>
          <w:color w:val="373A3C"/>
        </w:rPr>
      </w:pPr>
      <w:r w:rsidRPr="001E525D">
        <w:rPr>
          <w:rFonts w:ascii="Times New Roman" w:eastAsia="Times New Roman" w:hAnsi="Times New Roman" w:cs="Times New Roman"/>
          <w:color w:val="373A3C"/>
        </w:rPr>
        <w:t xml:space="preserve">This gave a fundamental option to human beings – to orient their thoughts and actions </w:t>
      </w:r>
      <w:r w:rsidRPr="008E39BA">
        <w:rPr>
          <w:rFonts w:ascii="Times New Roman" w:eastAsia="Times New Roman" w:hAnsi="Times New Roman" w:cs="Times New Roman"/>
          <w:color w:val="373A3C"/>
          <w:u w:val="single"/>
        </w:rPr>
        <w:t>toward themselves</w:t>
      </w:r>
      <w:r w:rsidRPr="001E525D">
        <w:rPr>
          <w:rFonts w:ascii="Times New Roman" w:eastAsia="Times New Roman" w:hAnsi="Times New Roman" w:cs="Times New Roman"/>
          <w:color w:val="373A3C"/>
        </w:rPr>
        <w:t xml:space="preserve">—toward their inner world (self-centeredness or egocentricity)—or </w:t>
      </w:r>
      <w:r w:rsidRPr="008E39BA">
        <w:rPr>
          <w:rFonts w:ascii="Times New Roman" w:eastAsia="Times New Roman" w:hAnsi="Times New Roman" w:cs="Times New Roman"/>
          <w:color w:val="373A3C"/>
          <w:u w:val="single"/>
        </w:rPr>
        <w:t>toward Him</w:t>
      </w:r>
      <w:r w:rsidRPr="001E525D">
        <w:rPr>
          <w:rFonts w:ascii="Times New Roman" w:eastAsia="Times New Roman" w:hAnsi="Times New Roman" w:cs="Times New Roman"/>
          <w:color w:val="373A3C"/>
        </w:rPr>
        <w:t xml:space="preserve"> (in worship and prayer), others (through empathy and care), and the good (through conscience). </w:t>
      </w:r>
    </w:p>
    <w:p w14:paraId="0209C874" w14:textId="6452DBB1"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Both options have a fundamental attraction, but in many respects, they are opposed to one another.</w:t>
      </w:r>
    </w:p>
    <w:p w14:paraId="4C5BBEF7" w14:textId="2977B60C"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One might say that the first human beings felt a call to aggrandize</w:t>
      </w:r>
      <w:r w:rsidR="008E39BA">
        <w:rPr>
          <w:rStyle w:val="FootnoteReference"/>
          <w:rFonts w:ascii="Times New Roman" w:eastAsia="Times New Roman" w:hAnsi="Times New Roman" w:cs="Times New Roman"/>
          <w:color w:val="373A3C"/>
        </w:rPr>
        <w:footnoteReference w:id="2"/>
      </w:r>
      <w:r w:rsidRPr="001E525D">
        <w:rPr>
          <w:rFonts w:ascii="Times New Roman" w:eastAsia="Times New Roman" w:hAnsi="Times New Roman" w:cs="Times New Roman"/>
          <w:color w:val="373A3C"/>
        </w:rPr>
        <w:t xml:space="preserve"> and enrich themselves (to turn inward)—and a call to reverence God, respect and help their fellow human beings, and obey their conscience (to turn and contribute outwardly). As will be discussed below, the call to God, others, and virtue was much stronger than the call to serve and aggrandize ourselves. One might say that God gave a substantial </w:t>
      </w:r>
      <w:r w:rsidRPr="001E525D">
        <w:rPr>
          <w:rFonts w:ascii="Times New Roman" w:eastAsia="Times New Roman" w:hAnsi="Times New Roman" w:cs="Times New Roman"/>
          <w:color w:val="373A3C"/>
        </w:rPr>
        <w:t>advantage to the call to holiness, love, and goodness.</w:t>
      </w:r>
    </w:p>
    <w:p w14:paraId="76B9E5BE"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How?</w:t>
      </w:r>
    </w:p>
    <w:p w14:paraId="54AF9CF6"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By manifesting the immense beauty and lovability of His own essence, as well as His goodness and love. It was almost irresistible, but not completely irresistible; for God wanted human beings to choose Him and His way over-against the possibility of choosing ourselves as our primary orientation.</w:t>
      </w:r>
    </w:p>
    <w:p w14:paraId="70257BC8"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Let’s call this “the original state of human beings.” In this state, human beings were free to choose God and others as a primary orientation or to choose themselves. However, the beauty and lovability of the first option was much stronger than that of the egocentric option.</w:t>
      </w:r>
    </w:p>
    <w:p w14:paraId="690A8F81"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The biblical account of original sin in Genesis 3 indicates three important points about free will and the human condition that help us understand ourselves and the need for redemption by Jesus Christ:</w:t>
      </w:r>
    </w:p>
    <w:p w14:paraId="55303EC6" w14:textId="77777777" w:rsidR="001E525D" w:rsidRPr="001E525D" w:rsidRDefault="001E525D" w:rsidP="001E525D">
      <w:pPr>
        <w:numPr>
          <w:ilvl w:val="0"/>
          <w:numId w:val="3"/>
        </w:numPr>
        <w:textAlignment w:val="baseline"/>
        <w:rPr>
          <w:rFonts w:ascii="Times New Roman" w:eastAsia="Times New Roman" w:hAnsi="Times New Roman" w:cs="Times New Roman"/>
          <w:color w:val="373A3C"/>
        </w:rPr>
      </w:pPr>
      <w:r w:rsidRPr="001E525D">
        <w:rPr>
          <w:rFonts w:ascii="Times New Roman" w:eastAsia="Times New Roman" w:hAnsi="Times New Roman" w:cs="Times New Roman"/>
          <w:color w:val="373A3C"/>
        </w:rPr>
        <w:t>The first sin of the original parents of humanity.</w:t>
      </w:r>
    </w:p>
    <w:p w14:paraId="36E515E3" w14:textId="77777777" w:rsidR="001E525D" w:rsidRPr="001E525D" w:rsidRDefault="001E525D" w:rsidP="001E525D">
      <w:pPr>
        <w:numPr>
          <w:ilvl w:val="0"/>
          <w:numId w:val="3"/>
        </w:numPr>
        <w:textAlignment w:val="baseline"/>
        <w:rPr>
          <w:rFonts w:ascii="Times New Roman" w:eastAsia="Times New Roman" w:hAnsi="Times New Roman" w:cs="Times New Roman"/>
          <w:color w:val="373A3C"/>
        </w:rPr>
      </w:pPr>
      <w:r w:rsidRPr="001E525D">
        <w:rPr>
          <w:rFonts w:ascii="Times New Roman" w:eastAsia="Times New Roman" w:hAnsi="Times New Roman" w:cs="Times New Roman"/>
          <w:color w:val="373A3C"/>
        </w:rPr>
        <w:t>The </w:t>
      </w:r>
      <w:hyperlink r:id="rId10" w:history="1">
        <w:r w:rsidRPr="001E525D">
          <w:rPr>
            <w:rFonts w:ascii="Times New Roman" w:eastAsia="Times New Roman" w:hAnsi="Times New Roman" w:cs="Times New Roman"/>
            <w:color w:val="0275D8"/>
            <w:u w:val="single"/>
          </w:rPr>
          <w:t>effects of this first sin</w:t>
        </w:r>
      </w:hyperlink>
      <w:r w:rsidRPr="001E525D">
        <w:rPr>
          <w:rFonts w:ascii="Times New Roman" w:eastAsia="Times New Roman" w:hAnsi="Times New Roman" w:cs="Times New Roman"/>
          <w:color w:val="373A3C"/>
        </w:rPr>
        <w:t> upon human nature and free will.</w:t>
      </w:r>
    </w:p>
    <w:p w14:paraId="517812CA" w14:textId="5A1C150B" w:rsidR="001E525D" w:rsidRPr="001E525D" w:rsidRDefault="001E525D" w:rsidP="005C3930">
      <w:pPr>
        <w:numPr>
          <w:ilvl w:val="0"/>
          <w:numId w:val="3"/>
        </w:numPr>
        <w:textAlignment w:val="baseline"/>
        <w:rPr>
          <w:rFonts w:ascii="Times New Roman" w:eastAsia="Times New Roman" w:hAnsi="Times New Roman" w:cs="Times New Roman"/>
          <w:color w:val="373A3C"/>
        </w:rPr>
      </w:pPr>
      <w:r w:rsidRPr="001E525D">
        <w:rPr>
          <w:rFonts w:ascii="Times New Roman" w:eastAsia="Times New Roman" w:hAnsi="Times New Roman" w:cs="Times New Roman"/>
          <w:color w:val="373A3C"/>
        </w:rPr>
        <w:t>The effects of this first sin upon our relationship with God, others, and the world.</w:t>
      </w:r>
    </w:p>
    <w:p w14:paraId="0675A9D3" w14:textId="2768F371" w:rsidR="001E525D" w:rsidRPr="001E525D" w:rsidRDefault="001E525D" w:rsidP="001E525D">
      <w:pPr>
        <w:spacing w:before="280" w:after="280"/>
        <w:jc w:val="center"/>
        <w:rPr>
          <w:rFonts w:ascii="Times New Roman" w:eastAsia="Times New Roman" w:hAnsi="Times New Roman" w:cs="Times New Roman"/>
          <w:color w:val="000000"/>
        </w:rPr>
      </w:pPr>
      <w:r w:rsidRPr="001E525D">
        <w:rPr>
          <w:rFonts w:ascii="Times New Roman" w:eastAsia="Times New Roman" w:hAnsi="Times New Roman" w:cs="Times New Roman"/>
          <w:color w:val="373A3C"/>
          <w:u w:val="single"/>
        </w:rPr>
        <w:t xml:space="preserve">The </w:t>
      </w:r>
      <w:r w:rsidR="001647DF">
        <w:rPr>
          <w:rFonts w:ascii="Times New Roman" w:eastAsia="Times New Roman" w:hAnsi="Times New Roman" w:cs="Times New Roman"/>
          <w:color w:val="373A3C"/>
          <w:u w:val="single"/>
        </w:rPr>
        <w:t>S</w:t>
      </w:r>
      <w:r w:rsidRPr="001E525D">
        <w:rPr>
          <w:rFonts w:ascii="Times New Roman" w:eastAsia="Times New Roman" w:hAnsi="Times New Roman" w:cs="Times New Roman"/>
          <w:color w:val="373A3C"/>
          <w:u w:val="single"/>
        </w:rPr>
        <w:t xml:space="preserve">tory of our </w:t>
      </w:r>
      <w:r w:rsidR="001647DF">
        <w:rPr>
          <w:rFonts w:ascii="Times New Roman" w:eastAsia="Times New Roman" w:hAnsi="Times New Roman" w:cs="Times New Roman"/>
          <w:color w:val="373A3C"/>
          <w:u w:val="single"/>
        </w:rPr>
        <w:t>F</w:t>
      </w:r>
      <w:r w:rsidRPr="001E525D">
        <w:rPr>
          <w:rFonts w:ascii="Times New Roman" w:eastAsia="Times New Roman" w:hAnsi="Times New Roman" w:cs="Times New Roman"/>
          <w:color w:val="373A3C"/>
          <w:u w:val="single"/>
        </w:rPr>
        <w:t xml:space="preserve">irst </w:t>
      </w:r>
      <w:r w:rsidR="001647DF">
        <w:rPr>
          <w:rFonts w:ascii="Times New Roman" w:eastAsia="Times New Roman" w:hAnsi="Times New Roman" w:cs="Times New Roman"/>
          <w:color w:val="373A3C"/>
          <w:u w:val="single"/>
        </w:rPr>
        <w:t>P</w:t>
      </w:r>
      <w:r w:rsidRPr="001E525D">
        <w:rPr>
          <w:rFonts w:ascii="Times New Roman" w:eastAsia="Times New Roman" w:hAnsi="Times New Roman" w:cs="Times New Roman"/>
          <w:color w:val="373A3C"/>
          <w:u w:val="single"/>
        </w:rPr>
        <w:t>arents</w:t>
      </w:r>
    </w:p>
    <w:p w14:paraId="6B00C058"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Let us now proceed to the fall of man and the first sin. The story of Adam and Eve is so psychologically deep and theologically insightful, it is difficult to imagine that it could have been written in 500 B.C. without the direct inspiration of the biblical author by God Himself.</w:t>
      </w:r>
    </w:p>
    <w:p w14:paraId="16DFCEC2" w14:textId="19509D15"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lastRenderedPageBreak/>
        <w:t xml:space="preserve">The context of the story is that God has created human beings in His own image and </w:t>
      </w:r>
      <w:proofErr w:type="gramStart"/>
      <w:r w:rsidRPr="001E525D">
        <w:rPr>
          <w:rFonts w:ascii="Times New Roman" w:eastAsia="Times New Roman" w:hAnsi="Times New Roman" w:cs="Times New Roman"/>
          <w:color w:val="373A3C"/>
        </w:rPr>
        <w:t>likeness,</w:t>
      </w:r>
      <w:r w:rsidR="001647DF">
        <w:rPr>
          <w:rFonts w:ascii="Times New Roman" w:eastAsia="Times New Roman" w:hAnsi="Times New Roman" w:cs="Times New Roman"/>
          <w:color w:val="373A3C"/>
        </w:rPr>
        <w:t xml:space="preserve"> </w:t>
      </w:r>
      <w:r w:rsidRPr="001E525D">
        <w:rPr>
          <w:rFonts w:ascii="Times New Roman" w:eastAsia="Times New Roman" w:hAnsi="Times New Roman" w:cs="Times New Roman"/>
          <w:color w:val="373A3C"/>
        </w:rPr>
        <w:t>and</w:t>
      </w:r>
      <w:proofErr w:type="gramEnd"/>
      <w:r w:rsidRPr="001E525D">
        <w:rPr>
          <w:rFonts w:ascii="Times New Roman" w:eastAsia="Times New Roman" w:hAnsi="Times New Roman" w:cs="Times New Roman"/>
          <w:color w:val="373A3C"/>
        </w:rPr>
        <w:t xml:space="preserve"> has withheld nothing from them.  As noted above, God created humanity with free will, but made the attraction to Him (and His goodness and sacredness) significantly stronger than the attraction to self. He gave human beings a commandment – presumably through a strong sense of conscience – not to seek for themselves the wisdom and power that belongs to Him alone. At first, the couple seems to effortlessly comply with this commandment, allowing themselves to be subordinated to and dependent on Him.</w:t>
      </w:r>
    </w:p>
    <w:p w14:paraId="230B936A"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Genesis 3 begins with the serpent – representing the evil spirit who appears on the scene and makes several suggestions that both tempt and deceive the couple. The dialogue between the serpent and the couple is worth considering in detail:</w:t>
      </w:r>
    </w:p>
    <w:p w14:paraId="4D6DE4FC" w14:textId="5B566749" w:rsidR="001E525D" w:rsidRPr="001E525D" w:rsidRDefault="001E525D" w:rsidP="001E525D">
      <w:pPr>
        <w:spacing w:before="280" w:after="280"/>
        <w:rPr>
          <w:rFonts w:ascii="Times New Roman" w:eastAsia="Times New Roman" w:hAnsi="Times New Roman" w:cs="Times New Roman"/>
          <w:color w:val="000000"/>
        </w:rPr>
      </w:pPr>
      <w:r>
        <w:rPr>
          <w:rFonts w:ascii="Times New Roman" w:eastAsia="Times New Roman" w:hAnsi="Times New Roman" w:cs="Times New Roman"/>
          <w:color w:val="004E84"/>
        </w:rPr>
        <w:t>(Read Genesis 3: 1-11)</w:t>
      </w:r>
    </w:p>
    <w:p w14:paraId="0BF67A4E"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Notice the tactics of the evil spirit. First, he suggests to the couple that God has withheld something from them—something that would be good for them, and to which they are entitled. This is a lie, because God has made them in His very image and likeness with the </w:t>
      </w:r>
      <w:hyperlink r:id="rId11" w:history="1">
        <w:r w:rsidRPr="001E525D">
          <w:rPr>
            <w:rFonts w:ascii="Times New Roman" w:eastAsia="Times New Roman" w:hAnsi="Times New Roman" w:cs="Times New Roman"/>
            <w:color w:val="0275D8"/>
            <w:u w:val="single"/>
          </w:rPr>
          <w:t>twelve capacities</w:t>
        </w:r>
      </w:hyperlink>
      <w:r w:rsidRPr="001E525D">
        <w:rPr>
          <w:rFonts w:ascii="Times New Roman" w:eastAsia="Times New Roman" w:hAnsi="Times New Roman" w:cs="Times New Roman"/>
          <w:color w:val="373A3C"/>
        </w:rPr>
        <w:t>. In addition to this, He has satisfied their desires for everything.</w:t>
      </w:r>
    </w:p>
    <w:p w14:paraId="09BEC540"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The only thing they lack is that they cannot satisfy their desires by themselves; they are dependent on Him.</w:t>
      </w:r>
    </w:p>
    <w:p w14:paraId="76A1E397" w14:textId="2DFF3382" w:rsidR="001E525D" w:rsidRPr="008E39BA" w:rsidRDefault="008E39BA" w:rsidP="001E525D">
      <w:pPr>
        <w:spacing w:before="280" w:after="280"/>
        <w:rPr>
          <w:rFonts w:ascii="Times New Roman" w:eastAsia="Times New Roman" w:hAnsi="Times New Roman" w:cs="Times New Roman"/>
          <w:color w:val="373A3C"/>
        </w:rPr>
      </w:pPr>
      <w:r>
        <w:rPr>
          <w:rFonts w:ascii="Times New Roman" w:eastAsia="Times New Roman" w:hAnsi="Times New Roman" w:cs="Times New Roman"/>
          <w:color w:val="373A3C"/>
        </w:rPr>
        <w:br w:type="column"/>
      </w:r>
      <w:r w:rsidR="001E525D" w:rsidRPr="001E525D">
        <w:rPr>
          <w:rFonts w:ascii="Times New Roman" w:eastAsia="Times New Roman" w:hAnsi="Times New Roman" w:cs="Times New Roman"/>
          <w:color w:val="373A3C"/>
        </w:rPr>
        <w:t>The evil spirit is aware that the couple has free will and is also aware that the couple must be dependent on God. They cannot become God themselves, </w:t>
      </w:r>
      <w:hyperlink r:id="rId12" w:history="1">
        <w:r w:rsidR="001E525D" w:rsidRPr="001E525D">
          <w:rPr>
            <w:rFonts w:ascii="Times New Roman" w:eastAsia="Times New Roman" w:hAnsi="Times New Roman" w:cs="Times New Roman"/>
            <w:color w:val="014C8C"/>
            <w:u w:val="single"/>
          </w:rPr>
          <w:t>there can be only one unrestricted, uncaused reality which is absolutely simple—</w:t>
        </w:r>
      </w:hyperlink>
      <w:r w:rsidR="001E525D" w:rsidRPr="001E525D">
        <w:rPr>
          <w:rFonts w:ascii="Times New Roman" w:eastAsia="Times New Roman" w:hAnsi="Times New Roman" w:cs="Times New Roman"/>
          <w:color w:val="373A3C"/>
        </w:rPr>
        <w:t>and therefore only one reality that can be perfect truth, love, justice/goodness, beauty, and home. The couple does not know this, and so they do not recognize the serpent’s lie. They believe that if they disobey Him, they could get the wisdom and power that God had withheld from them—to which they were entitled.</w:t>
      </w:r>
    </w:p>
    <w:p w14:paraId="3BA512AA" w14:textId="77777777" w:rsidR="001E525D" w:rsidRPr="001E525D" w:rsidRDefault="001E525D" w:rsidP="001E525D">
      <w:pPr>
        <w:spacing w:before="280" w:after="280"/>
        <w:rPr>
          <w:rFonts w:ascii="Times New Roman" w:eastAsia="Times New Roman" w:hAnsi="Times New Roman" w:cs="Times New Roman"/>
          <w:color w:val="000000"/>
        </w:rPr>
      </w:pPr>
      <w:r w:rsidRPr="001E525D">
        <w:rPr>
          <w:rFonts w:ascii="Times New Roman" w:eastAsia="Times New Roman" w:hAnsi="Times New Roman" w:cs="Times New Roman"/>
          <w:color w:val="373A3C"/>
        </w:rPr>
        <w:t>From a contemporary standpoint, we might say that the first couple would have known through their conscience and sense of the sacred that they were not gods and that self-worship is not only a denial of their creature-hood, but a rejection of the Creator. Everything inside them, from their conscience and their sense of the holy, would have been shouting “danger!”</w:t>
      </w:r>
    </w:p>
    <w:p w14:paraId="479D9B65" w14:textId="33122B30" w:rsidR="001E525D" w:rsidRPr="001E525D" w:rsidRDefault="001E525D" w:rsidP="001E525D">
      <w:pPr>
        <w:spacing w:after="240"/>
        <w:rPr>
          <w:rFonts w:ascii="Times New Roman" w:eastAsia="Times New Roman" w:hAnsi="Times New Roman" w:cs="Times New Roman"/>
          <w:color w:val="000000"/>
        </w:rPr>
      </w:pPr>
      <w:r w:rsidRPr="001E525D">
        <w:rPr>
          <w:rFonts w:ascii="Times New Roman" w:eastAsia="Times New Roman" w:hAnsi="Times New Roman" w:cs="Times New Roman"/>
          <w:color w:val="373A3C"/>
        </w:rPr>
        <w:t>They would have felt a deep sense of alienation, emptiness, and darkness from the mere consideration of this suggestion from the evil spirit; yet the suggestion seemed right—God really was withholding something from them to which they were entitled: to be precisely like Him.</w:t>
      </w:r>
    </w:p>
    <w:p w14:paraId="045F4730" w14:textId="02602350" w:rsidR="001E525D" w:rsidRPr="001E525D" w:rsidRDefault="001E525D" w:rsidP="001E525D">
      <w:pPr>
        <w:spacing w:before="280"/>
        <w:rPr>
          <w:rFonts w:ascii="Times New Roman" w:eastAsia="Times New Roman" w:hAnsi="Times New Roman" w:cs="Times New Roman"/>
          <w:color w:val="000000"/>
        </w:rPr>
      </w:pPr>
      <w:r w:rsidRPr="001E525D">
        <w:rPr>
          <w:rFonts w:ascii="Times New Roman" w:eastAsia="Times New Roman" w:hAnsi="Times New Roman" w:cs="Times New Roman"/>
          <w:color w:val="373A3C"/>
        </w:rPr>
        <w:t xml:space="preserve">The fall of man is a direct result of the sin of the original couple. The sin of the couple was to grow envious of their Creator, to resent their subordination to Him, and to reject the need to depend on Him and give praise to Him. </w:t>
      </w:r>
      <w:proofErr w:type="gramStart"/>
      <w:r w:rsidRPr="001E525D">
        <w:rPr>
          <w:rFonts w:ascii="Times New Roman" w:eastAsia="Times New Roman" w:hAnsi="Times New Roman" w:cs="Times New Roman"/>
          <w:color w:val="373A3C"/>
        </w:rPr>
        <w:t>So</w:t>
      </w:r>
      <w:proofErr w:type="gramEnd"/>
      <w:r w:rsidRPr="001E525D">
        <w:rPr>
          <w:rFonts w:ascii="Times New Roman" w:eastAsia="Times New Roman" w:hAnsi="Times New Roman" w:cs="Times New Roman"/>
          <w:color w:val="373A3C"/>
        </w:rPr>
        <w:t xml:space="preserve"> they entered, through the suggestion of the evil spirit, into the world of darkness through a gateway of envy, presumption, anger, and resentment. They refused to give praise to the Sacred One, so that they might have His authority and praise</w:t>
      </w:r>
      <w:r w:rsidR="005C3930">
        <w:rPr>
          <w:rFonts w:ascii="Times New Roman" w:eastAsia="Times New Roman" w:hAnsi="Times New Roman" w:cs="Times New Roman"/>
          <w:color w:val="373A3C"/>
        </w:rPr>
        <w:t>-</w:t>
      </w:r>
      <w:r w:rsidRPr="001E525D">
        <w:rPr>
          <w:rFonts w:ascii="Times New Roman" w:eastAsia="Times New Roman" w:hAnsi="Times New Roman" w:cs="Times New Roman"/>
          <w:color w:val="373A3C"/>
        </w:rPr>
        <w:t>worthiness for themselves.</w:t>
      </w:r>
    </w:p>
    <w:p w14:paraId="7C5D9D1B" w14:textId="77777777" w:rsidR="009A478D" w:rsidRDefault="009A478D"/>
    <w:sectPr w:rsidR="009A478D" w:rsidSect="001E525D">
      <w:headerReference w:type="even" r:id="rId13"/>
      <w:headerReference w:type="default" r:id="rId14"/>
      <w:footerReference w:type="even" r:id="rId15"/>
      <w:footerReference w:type="default" r:id="rId16"/>
      <w:headerReference w:type="first" r:id="rId17"/>
      <w:footerReference w:type="first" r:id="rId18"/>
      <w:pgSz w:w="12240" w:h="15840"/>
      <w:pgMar w:top="864" w:right="1008" w:bottom="864" w:left="1008"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E20FC4" w14:textId="77777777" w:rsidR="00231B96" w:rsidRDefault="00231B96" w:rsidP="001E525D">
      <w:r>
        <w:separator/>
      </w:r>
    </w:p>
  </w:endnote>
  <w:endnote w:type="continuationSeparator" w:id="0">
    <w:p w14:paraId="331486FB" w14:textId="77777777" w:rsidR="00231B96" w:rsidRDefault="00231B96" w:rsidP="001E52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2E2D3" w14:textId="77777777" w:rsidR="004D3383" w:rsidRDefault="004D33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4D427" w14:textId="77777777" w:rsidR="004D3383" w:rsidRDefault="004D338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AE229" w14:textId="77777777" w:rsidR="004D3383" w:rsidRDefault="004D33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A3B148" w14:textId="77777777" w:rsidR="00231B96" w:rsidRDefault="00231B96" w:rsidP="001E525D">
      <w:r>
        <w:separator/>
      </w:r>
    </w:p>
  </w:footnote>
  <w:footnote w:type="continuationSeparator" w:id="0">
    <w:p w14:paraId="6BEC724D" w14:textId="77777777" w:rsidR="00231B96" w:rsidRDefault="00231B96" w:rsidP="001E525D">
      <w:r>
        <w:continuationSeparator/>
      </w:r>
    </w:p>
  </w:footnote>
  <w:footnote w:id="1">
    <w:p w14:paraId="1712321F" w14:textId="5424F92A" w:rsidR="008E39BA" w:rsidRDefault="008E39BA">
      <w:pPr>
        <w:pStyle w:val="FootnoteText"/>
      </w:pPr>
      <w:r>
        <w:rPr>
          <w:rStyle w:val="FootnoteReference"/>
        </w:rPr>
        <w:footnoteRef/>
      </w:r>
      <w:r>
        <w:t xml:space="preserve"> Pertaining to the supernatural.</w:t>
      </w:r>
    </w:p>
  </w:footnote>
  <w:footnote w:id="2">
    <w:p w14:paraId="708FB283" w14:textId="697121F2" w:rsidR="008E39BA" w:rsidRDefault="008E39BA">
      <w:pPr>
        <w:pStyle w:val="FootnoteText"/>
      </w:pPr>
      <w:r>
        <w:rPr>
          <w:rStyle w:val="FootnoteReference"/>
        </w:rPr>
        <w:footnoteRef/>
      </w:r>
      <w:r>
        <w:t xml:space="preserve"> To broaden the scope of.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1CE80" w14:textId="77777777" w:rsidR="004D3383" w:rsidRDefault="004D33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E9B24" w14:textId="77777777" w:rsidR="004D3383" w:rsidRDefault="004D338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D482" w14:textId="77777777" w:rsidR="001E525D" w:rsidRPr="001E525D" w:rsidRDefault="001E525D" w:rsidP="001E525D">
    <w:pPr>
      <w:jc w:val="center"/>
      <w:rPr>
        <w:rFonts w:ascii="Times New Roman" w:eastAsia="Times New Roman" w:hAnsi="Times New Roman" w:cs="Times New Roman"/>
        <w:color w:val="000000"/>
      </w:rPr>
    </w:pPr>
    <w:r w:rsidRPr="001E525D">
      <w:rPr>
        <w:rFonts w:ascii="Arial" w:eastAsia="Times New Roman" w:hAnsi="Arial" w:cs="Arial"/>
        <w:color w:val="000000"/>
      </w:rPr>
      <w:t>Ninth Grade CCD</w:t>
    </w:r>
  </w:p>
  <w:p w14:paraId="00A13567" w14:textId="4743B1F0" w:rsidR="001E525D" w:rsidRPr="001E525D" w:rsidRDefault="001E525D" w:rsidP="001E525D">
    <w:pPr>
      <w:jc w:val="center"/>
      <w:rPr>
        <w:rFonts w:ascii="Times New Roman" w:eastAsia="Times New Roman" w:hAnsi="Times New Roman" w:cs="Times New Roman"/>
        <w:color w:val="000000"/>
      </w:rPr>
    </w:pPr>
    <w:r w:rsidRPr="001E525D">
      <w:rPr>
        <w:rFonts w:ascii="Arial" w:eastAsia="Times New Roman" w:hAnsi="Arial" w:cs="Arial"/>
        <w:color w:val="000000"/>
      </w:rPr>
      <w:t xml:space="preserve">St. Raymond of </w:t>
    </w:r>
    <w:r w:rsidR="004D3383" w:rsidRPr="001E525D">
      <w:rPr>
        <w:rFonts w:ascii="Arial" w:eastAsia="Times New Roman" w:hAnsi="Arial" w:cs="Arial"/>
        <w:color w:val="000000"/>
      </w:rPr>
      <w:t>Penéfort</w:t>
    </w:r>
    <w:r w:rsidRPr="001E525D">
      <w:rPr>
        <w:rFonts w:ascii="Arial" w:eastAsia="Times New Roman" w:hAnsi="Arial" w:cs="Arial"/>
        <w:color w:val="000000"/>
      </w:rPr>
      <w:t xml:space="preserve"> Catholic Church</w:t>
    </w:r>
  </w:p>
  <w:p w14:paraId="438A7068" w14:textId="3F10EF25" w:rsidR="001E525D" w:rsidRDefault="001E525D" w:rsidP="001E525D">
    <w:pPr>
      <w:jc w:val="center"/>
      <w:rPr>
        <w:rFonts w:ascii="Arial" w:eastAsia="Times New Roman" w:hAnsi="Arial" w:cs="Arial"/>
        <w:color w:val="000000"/>
      </w:rPr>
    </w:pPr>
    <w:r w:rsidRPr="001E525D">
      <w:rPr>
        <w:rFonts w:ascii="Arial" w:eastAsia="Times New Roman" w:hAnsi="Arial" w:cs="Arial"/>
        <w:color w:val="000000"/>
      </w:rPr>
      <w:t>Class 2</w:t>
    </w:r>
    <w:r w:rsidR="001647DF">
      <w:rPr>
        <w:rFonts w:ascii="Arial" w:eastAsia="Times New Roman" w:hAnsi="Arial" w:cs="Arial"/>
        <w:color w:val="000000"/>
      </w:rPr>
      <w:t xml:space="preserve"> (Supplemental Reading)</w:t>
    </w:r>
  </w:p>
  <w:p w14:paraId="5B821314" w14:textId="6EF6A232" w:rsidR="001E525D" w:rsidRDefault="00344CE8" w:rsidP="00344CE8">
    <w:pPr>
      <w:pStyle w:val="Header"/>
      <w:jc w:val="center"/>
    </w:pPr>
    <w:r>
      <w:t>September 19,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8870FE"/>
    <w:multiLevelType w:val="multilevel"/>
    <w:tmpl w:val="3DF07A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7336808"/>
    <w:multiLevelType w:val="multilevel"/>
    <w:tmpl w:val="A5542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362A55"/>
    <w:multiLevelType w:val="multilevel"/>
    <w:tmpl w:val="56AA2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25D"/>
    <w:rsid w:val="001647DF"/>
    <w:rsid w:val="001B6A76"/>
    <w:rsid w:val="001E525D"/>
    <w:rsid w:val="00231B96"/>
    <w:rsid w:val="0026518A"/>
    <w:rsid w:val="00344CE8"/>
    <w:rsid w:val="004A79C2"/>
    <w:rsid w:val="004D3383"/>
    <w:rsid w:val="004F4D1C"/>
    <w:rsid w:val="005C3930"/>
    <w:rsid w:val="008A6B42"/>
    <w:rsid w:val="008E39BA"/>
    <w:rsid w:val="009A4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6FE5D6"/>
  <w15:chartTrackingRefBased/>
  <w15:docId w15:val="{ECFAE2BF-B0B3-D243-874F-A8EA551C0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25D"/>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1E525D"/>
    <w:rPr>
      <w:color w:val="0000FF"/>
      <w:u w:val="single"/>
    </w:rPr>
  </w:style>
  <w:style w:type="paragraph" w:styleId="Header">
    <w:name w:val="header"/>
    <w:basedOn w:val="Normal"/>
    <w:link w:val="HeaderChar"/>
    <w:uiPriority w:val="99"/>
    <w:unhideWhenUsed/>
    <w:rsid w:val="001E525D"/>
    <w:pPr>
      <w:tabs>
        <w:tab w:val="center" w:pos="4680"/>
        <w:tab w:val="right" w:pos="9360"/>
      </w:tabs>
    </w:pPr>
  </w:style>
  <w:style w:type="character" w:customStyle="1" w:styleId="HeaderChar">
    <w:name w:val="Header Char"/>
    <w:basedOn w:val="DefaultParagraphFont"/>
    <w:link w:val="Header"/>
    <w:uiPriority w:val="99"/>
    <w:rsid w:val="001E525D"/>
  </w:style>
  <w:style w:type="paragraph" w:styleId="Footer">
    <w:name w:val="footer"/>
    <w:basedOn w:val="Normal"/>
    <w:link w:val="FooterChar"/>
    <w:uiPriority w:val="99"/>
    <w:unhideWhenUsed/>
    <w:rsid w:val="001E525D"/>
    <w:pPr>
      <w:tabs>
        <w:tab w:val="center" w:pos="4680"/>
        <w:tab w:val="right" w:pos="9360"/>
      </w:tabs>
    </w:pPr>
  </w:style>
  <w:style w:type="character" w:customStyle="1" w:styleId="FooterChar">
    <w:name w:val="Footer Char"/>
    <w:basedOn w:val="DefaultParagraphFont"/>
    <w:link w:val="Footer"/>
    <w:uiPriority w:val="99"/>
    <w:rsid w:val="001E525D"/>
  </w:style>
  <w:style w:type="character" w:styleId="UnresolvedMention">
    <w:name w:val="Unresolved Mention"/>
    <w:basedOn w:val="DefaultParagraphFont"/>
    <w:uiPriority w:val="99"/>
    <w:semiHidden/>
    <w:unhideWhenUsed/>
    <w:rsid w:val="001E525D"/>
    <w:rPr>
      <w:color w:val="605E5C"/>
      <w:shd w:val="clear" w:color="auto" w:fill="E1DFDD"/>
    </w:rPr>
  </w:style>
  <w:style w:type="paragraph" w:styleId="FootnoteText">
    <w:name w:val="footnote text"/>
    <w:basedOn w:val="Normal"/>
    <w:link w:val="FootnoteTextChar"/>
    <w:uiPriority w:val="99"/>
    <w:semiHidden/>
    <w:unhideWhenUsed/>
    <w:rsid w:val="008E39BA"/>
    <w:rPr>
      <w:sz w:val="20"/>
      <w:szCs w:val="20"/>
    </w:rPr>
  </w:style>
  <w:style w:type="character" w:customStyle="1" w:styleId="FootnoteTextChar">
    <w:name w:val="Footnote Text Char"/>
    <w:basedOn w:val="DefaultParagraphFont"/>
    <w:link w:val="FootnoteText"/>
    <w:uiPriority w:val="99"/>
    <w:semiHidden/>
    <w:rsid w:val="008E39BA"/>
    <w:rPr>
      <w:sz w:val="20"/>
      <w:szCs w:val="20"/>
    </w:rPr>
  </w:style>
  <w:style w:type="character" w:styleId="FootnoteReference">
    <w:name w:val="footnote reference"/>
    <w:basedOn w:val="DefaultParagraphFont"/>
    <w:uiPriority w:val="99"/>
    <w:semiHidden/>
    <w:unhideWhenUsed/>
    <w:rsid w:val="008E39B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637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giscenter.com/the-fall-and-original-sin/"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agiscenter.com/can-philosophy-provide-evidence-for-gods-existence/"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agiscenter.com/the-12-capacities-of-mans-transphysical-sou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magiscenter.com/the-interior-consequences-of-original-sin-ii-a/"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agiscenter.com/the-12-capacities-of-mans-transphysical-soul/"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6A22F5-A121-3B47-BC94-730336215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951</Words>
  <Characters>5426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2020-10-03T23:48:00Z</cp:lastPrinted>
  <dcterms:created xsi:type="dcterms:W3CDTF">2021-09-10T21:15:00Z</dcterms:created>
  <dcterms:modified xsi:type="dcterms:W3CDTF">2021-09-10T21:15:00Z</dcterms:modified>
</cp:coreProperties>
</file>